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DF" w:rsidRDefault="00DB75DF">
      <w:pPr>
        <w:pStyle w:val="ConsPlusTitle"/>
        <w:jc w:val="center"/>
        <w:outlineLvl w:val="0"/>
      </w:pPr>
      <w:r>
        <w:t>ПРАВИТЕЛЬСТВО САМАРСКОЙ ОБЛАСТИ</w:t>
      </w:r>
    </w:p>
    <w:p w:rsidR="00DB75DF" w:rsidRDefault="00DB75DF">
      <w:pPr>
        <w:pStyle w:val="ConsPlusTitle"/>
        <w:jc w:val="center"/>
      </w:pPr>
    </w:p>
    <w:p w:rsidR="00DB75DF" w:rsidRDefault="00DB75DF">
      <w:pPr>
        <w:pStyle w:val="ConsPlusTitle"/>
        <w:jc w:val="center"/>
      </w:pPr>
      <w:r>
        <w:t>ПОСТАНОВЛЕНИЕ</w:t>
      </w:r>
    </w:p>
    <w:p w:rsidR="00DB75DF" w:rsidRDefault="00DB75DF">
      <w:pPr>
        <w:pStyle w:val="ConsPlusTitle"/>
        <w:jc w:val="center"/>
      </w:pPr>
      <w:r>
        <w:t>от 7 мая 2015 г. N 244</w:t>
      </w:r>
    </w:p>
    <w:p w:rsidR="00DB75DF" w:rsidRDefault="00DB75DF">
      <w:pPr>
        <w:pStyle w:val="ConsPlusTitle"/>
        <w:jc w:val="center"/>
      </w:pPr>
    </w:p>
    <w:p w:rsidR="00DB75DF" w:rsidRDefault="00DB75DF">
      <w:pPr>
        <w:pStyle w:val="ConsPlusTitle"/>
        <w:jc w:val="center"/>
      </w:pPr>
      <w:r>
        <w:t>ОБ УТВЕРЖДЕНИИ ПОРЯДКА НАЗНАЧЕНИЯ ДЕНЕЖНЫХ ВЫПЛАТ МОЛОДЫМ</w:t>
      </w:r>
    </w:p>
    <w:p w:rsidR="00DB75DF" w:rsidRDefault="00DB75DF">
      <w:pPr>
        <w:pStyle w:val="ConsPlusTitle"/>
        <w:jc w:val="center"/>
      </w:pPr>
      <w:r>
        <w:t>УЧЕНЫМ И КОНСТРУКТОРАМ, РАБОТАЮЩИМ В САМАРСКОЙ ОБЛАСТИ</w:t>
      </w:r>
    </w:p>
    <w:p w:rsidR="00DB75DF" w:rsidRDefault="00DB75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B75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B75DF" w:rsidRDefault="00DB75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75DF" w:rsidRDefault="00DB75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Самарской области от 15.10.2015 </w:t>
            </w:r>
            <w:hyperlink r:id="rId4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DB75DF" w:rsidRDefault="00DB75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20.04.2020 </w:t>
            </w:r>
            <w:hyperlink r:id="rId5" w:history="1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B75DF" w:rsidRDefault="00DB75DF">
      <w:pPr>
        <w:pStyle w:val="ConsPlusNormal"/>
        <w:jc w:val="both"/>
      </w:pPr>
    </w:p>
    <w:p w:rsidR="00DB75DF" w:rsidRDefault="00DB75DF">
      <w:pPr>
        <w:pStyle w:val="ConsPlusNormal"/>
        <w:ind w:firstLine="540"/>
        <w:jc w:val="both"/>
      </w:pPr>
      <w:r>
        <w:t xml:space="preserve">В соответствии с государственной </w:t>
      </w:r>
      <w:hyperlink r:id="rId6" w:history="1">
        <w:r>
          <w:rPr>
            <w:color w:val="0000FF"/>
          </w:rPr>
          <w:t>программой</w:t>
        </w:r>
      </w:hyperlink>
      <w:r>
        <w:t xml:space="preserve"> Самарской области "Развитие образования и повышение эффективности реализации молодежной политики в Самарской области" на 2015 - 2024 годы, утвержденной постановлением Правительства Самарской области от 21.01.2015 N 6, в целях привлечения талантливой молодежи к занятиям научно-исследовательской деятельностью, стимулирования творческой активности молодых ученых и конструкторов, работающих в Самарской области и выполняющих научно</w:t>
      </w:r>
      <w:bookmarkStart w:id="0" w:name="_GoBack"/>
      <w:bookmarkEnd w:id="0"/>
      <w:r>
        <w:t>-исследовательские и опытно-конструкторские работы по приоритетным для Самарской области направлениям развития науки, технологий и техники, Правительство Самарской области постановляет:</w:t>
      </w:r>
    </w:p>
    <w:p w:rsidR="00DB75DF" w:rsidRDefault="00DB75DF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20.04.2020 N 271)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назначения денежных выплат молодым ученым и конструкторам, работающим в Самарской области.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2. Контроль за выполнением настоящего Постановления возложить на министерство образования и науки Самарской области.</w:t>
      </w:r>
    </w:p>
    <w:p w:rsidR="00DB75DF" w:rsidRDefault="00DB75DF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20.04.2020 N 271)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3. Опубликовать настоящее Постановление в средствах массовой информации.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со дня его официального опубликования, но не ранее дня вступления в силу соответствующих </w:t>
      </w:r>
      <w:hyperlink r:id="rId9" w:history="1">
        <w:r>
          <w:rPr>
            <w:color w:val="0000FF"/>
          </w:rPr>
          <w:t>изменений</w:t>
        </w:r>
      </w:hyperlink>
      <w:r>
        <w:t xml:space="preserve"> в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21.01.2015 N 6 "Об утверждении государственной программы Самарской области "Развитие образования и повышение эффективности реализации молодежной политики в Самарской области" на 2015 - 2024 годы".</w:t>
      </w:r>
    </w:p>
    <w:p w:rsidR="00DB75DF" w:rsidRDefault="00DB75D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20.04.2020 N 271)</w:t>
      </w:r>
    </w:p>
    <w:p w:rsidR="00DB75DF" w:rsidRDefault="00DB75DF">
      <w:pPr>
        <w:pStyle w:val="ConsPlusNormal"/>
        <w:jc w:val="both"/>
      </w:pPr>
    </w:p>
    <w:p w:rsidR="00DB75DF" w:rsidRDefault="00DB75DF">
      <w:pPr>
        <w:pStyle w:val="ConsPlusNormal"/>
        <w:jc w:val="both"/>
      </w:pPr>
    </w:p>
    <w:p w:rsidR="00DB75DF" w:rsidRDefault="00DB75DF">
      <w:pPr>
        <w:pStyle w:val="ConsPlusNormal"/>
        <w:jc w:val="right"/>
        <w:outlineLvl w:val="0"/>
      </w:pPr>
      <w:r>
        <w:t>Утвержден</w:t>
      </w:r>
    </w:p>
    <w:p w:rsidR="00DB75DF" w:rsidRDefault="00DB75DF">
      <w:pPr>
        <w:pStyle w:val="ConsPlusNormal"/>
        <w:jc w:val="right"/>
      </w:pPr>
      <w:r>
        <w:t>Постановлением</w:t>
      </w:r>
    </w:p>
    <w:p w:rsidR="00DB75DF" w:rsidRDefault="00DB75DF">
      <w:pPr>
        <w:pStyle w:val="ConsPlusNormal"/>
        <w:jc w:val="right"/>
      </w:pPr>
      <w:r>
        <w:t>Правительства Самарской области</w:t>
      </w:r>
    </w:p>
    <w:p w:rsidR="00DB75DF" w:rsidRDefault="00DB75DF">
      <w:pPr>
        <w:pStyle w:val="ConsPlusNormal"/>
        <w:jc w:val="right"/>
      </w:pPr>
      <w:r>
        <w:t>от 7 мая 2015 г. N 244</w:t>
      </w:r>
    </w:p>
    <w:p w:rsidR="00DB75DF" w:rsidRDefault="00DB75DF">
      <w:pPr>
        <w:pStyle w:val="ConsPlusNormal"/>
        <w:jc w:val="both"/>
      </w:pPr>
    </w:p>
    <w:p w:rsidR="00DB75DF" w:rsidRDefault="00DB75DF">
      <w:pPr>
        <w:pStyle w:val="ConsPlusTitle"/>
        <w:jc w:val="center"/>
      </w:pPr>
      <w:bookmarkStart w:id="1" w:name="P34"/>
      <w:bookmarkEnd w:id="1"/>
      <w:r>
        <w:t>ПОРЯДОК</w:t>
      </w:r>
    </w:p>
    <w:p w:rsidR="00DB75DF" w:rsidRDefault="00DB75DF">
      <w:pPr>
        <w:pStyle w:val="ConsPlusTitle"/>
        <w:jc w:val="center"/>
      </w:pPr>
      <w:r>
        <w:t>НАЗНАЧЕНИЯ ДЕНЕЖНЫХ ВЫПЛАТ МОЛОДЫМ УЧЕНЫМ И КОНСТРУКТОРАМ,</w:t>
      </w:r>
    </w:p>
    <w:p w:rsidR="00DB75DF" w:rsidRDefault="00DB75DF">
      <w:pPr>
        <w:pStyle w:val="ConsPlusTitle"/>
        <w:jc w:val="center"/>
      </w:pPr>
      <w:r>
        <w:t>РАБОТАЮЩИМ В САМАРСКОЙ ОБЛАСТИ</w:t>
      </w:r>
    </w:p>
    <w:p w:rsidR="00DB75DF" w:rsidRDefault="00DB75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B75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B75DF" w:rsidRDefault="00DB75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75DF" w:rsidRDefault="00DB75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Самарской области от 15.10.2015 </w:t>
            </w:r>
            <w:hyperlink r:id="rId12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DB75DF" w:rsidRDefault="00DB75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20.04.2020 </w:t>
            </w:r>
            <w:hyperlink r:id="rId13" w:history="1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B75DF" w:rsidRDefault="00DB75DF">
      <w:pPr>
        <w:pStyle w:val="ConsPlusNormal"/>
        <w:jc w:val="both"/>
      </w:pPr>
    </w:p>
    <w:p w:rsidR="00DB75DF" w:rsidRDefault="00DB75DF">
      <w:pPr>
        <w:pStyle w:val="ConsPlusNormal"/>
        <w:ind w:firstLine="540"/>
        <w:jc w:val="both"/>
      </w:pPr>
      <w:bookmarkStart w:id="2" w:name="P41"/>
      <w:bookmarkEnd w:id="2"/>
      <w:r>
        <w:lastRenderedPageBreak/>
        <w:t>1. Настоящий Порядок устанавливает механизм назначения и осуществления ежемесячных денежных выплат (далее - денежные выплаты) молодым ученым и конструкторам, работающим в Самарской области и выполняющим научно-исследовательские и опытно-конструкторские работы по приоритетным для Самарской области направлениям развития науки, технологий и техники: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информационные технологии и электроника (компьютерное моделирование и высокопроизводительные вычислительные системы; распознавание образов и анализ изображений; </w:t>
      </w:r>
      <w:proofErr w:type="spellStart"/>
      <w:r>
        <w:t>опто</w:t>
      </w:r>
      <w:proofErr w:type="spellEnd"/>
      <w:r>
        <w:t xml:space="preserve">-, радио- и </w:t>
      </w:r>
      <w:proofErr w:type="spellStart"/>
      <w:r>
        <w:t>акустоэлектроника</w:t>
      </w:r>
      <w:proofErr w:type="spellEnd"/>
      <w:r>
        <w:t>, оптическая и СВЧ-связь, информационно-телекоммуникационные системы; информационная безопасность);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космические и авиационные технологии (авиационная, ракетно-космическая техника с использованием новых технических решений);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новые материалы, химические технологии, </w:t>
      </w:r>
      <w:proofErr w:type="spellStart"/>
      <w:r>
        <w:t>нанотехнологии</w:t>
      </w:r>
      <w:proofErr w:type="spellEnd"/>
      <w:r>
        <w:t xml:space="preserve"> (структуры, металлы и сплавы со специальными свойствами; каталитические системы и технологии; полимеры, композиты, керамические и лакокрасочные материалы);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новые транспортные технологии (автомобильная техника на базе новых технических решений; безопасность движения, управление транспортом, </w:t>
      </w:r>
      <w:proofErr w:type="spellStart"/>
      <w:r>
        <w:t>интермодальные</w:t>
      </w:r>
      <w:proofErr w:type="spellEnd"/>
      <w:r>
        <w:t xml:space="preserve"> перевозки и логические системы);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производственные технологии (лазерные и электронно-ионно-плазменные технологии; информационная интеграция и системная поддержка жизненного цикла продукции; конверсионные технологии; строительные технологии; автоматизация и управление технологическими процессами и комплексами, гибкие производственные системы, робототехнические системы и микромашины);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технологии живых систем (производство и переработка сельскохозяйственного сырья; совершенствование технологий животноводства и растениеводства; синтез лекарственных средств и пищевых добавок, системы жизнеобеспечения и защиты человека; технологии биоинженерии, биологические средства защиты растений и животных);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экология и рациональное природопользование (мониторинг окружающей среды, обезвреживание техногенных сред; снижение риска и уменьшение последствий природных и техногенных катастроф; перспективные технологии, технические решения обеспечения экологической безопасности при разработке и эксплуатации энергетических станций, транспортных средств, авиационной и ракетно-космической техники);</w:t>
      </w:r>
    </w:p>
    <w:p w:rsidR="00DB75DF" w:rsidRDefault="00DB75DF">
      <w:pPr>
        <w:pStyle w:val="ConsPlusNormal"/>
        <w:spacing w:before="220"/>
        <w:ind w:firstLine="540"/>
        <w:jc w:val="both"/>
      </w:pPr>
      <w:proofErr w:type="spellStart"/>
      <w:r>
        <w:t>ресурсо</w:t>
      </w:r>
      <w:proofErr w:type="spellEnd"/>
      <w:r>
        <w:t>- и энергосберегающие технологии в промышленно развитом регионе;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инновационные технологии в медицине (диагностика, профилактика и лечение заболеваний человека, информационные технологии в медицине, биотехнологии в медицине, повышение адаптации организма человека к действию различных факторов среды обитания).</w:t>
      </w:r>
    </w:p>
    <w:p w:rsidR="00DB75DF" w:rsidRDefault="00DB75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B75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B75DF" w:rsidRDefault="00DB75D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B75DF" w:rsidRDefault="00DB75DF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DB75DF" w:rsidRDefault="00DB75DF">
      <w:pPr>
        <w:pStyle w:val="ConsPlusNormal"/>
        <w:spacing w:before="280"/>
        <w:ind w:firstLine="540"/>
        <w:jc w:val="both"/>
      </w:pPr>
      <w:bookmarkStart w:id="3" w:name="P53"/>
      <w:bookmarkEnd w:id="3"/>
      <w:r>
        <w:t>3. Ежегодно предоставляется не более 100 денежных выплат в размере 10 тысяч рублей каждая сроком на 12 месяцев. Размер денежной выплаты, установленный настоящим пунктом, указан с учетом налога на доходы физических лиц.</w:t>
      </w:r>
    </w:p>
    <w:p w:rsidR="00DB75DF" w:rsidRDefault="00DB75DF">
      <w:pPr>
        <w:pStyle w:val="ConsPlusNormal"/>
        <w:jc w:val="both"/>
      </w:pPr>
      <w:r>
        <w:t xml:space="preserve">(п. 3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15.10.2015 N 649)</w:t>
      </w:r>
    </w:p>
    <w:p w:rsidR="00DB75DF" w:rsidRDefault="00DB75DF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4. Денежные выплаты предоставляются на конкурсной основе. На конкурс по предоставлению денежных выплат (далее - конкурс) могут быть представлены научно-исследовательские и опытно-конструкторские работы молодых ученых и конструкторов, </w:t>
      </w:r>
      <w:r>
        <w:lastRenderedPageBreak/>
        <w:t>связанные в том числе с развитием тем кандидатских и докторских диссертаций, отличающиеся научной новизной, направленные на создание и (или) внедрение в производство принципиально новых технологий и новой научно-технической продукции, приборов, оборудования, материалов и веществ, содействующие развитию научно-технического потенциала Самарской области.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Научно-исследовательские и опытно-конструкторские работы, представленные на конкурс, не должны дублировать работы, финансируемые из бюджета Самарской области в рамках конкурса работ и проектов в области науки и техники на предоставление Губернских премий в области науки и техники, Губернских грантов (субсидий) в области науки и техники и областного конкурса "Молодой ученый".</w:t>
      </w:r>
    </w:p>
    <w:p w:rsidR="00DB75DF" w:rsidRDefault="00DB75DF">
      <w:pPr>
        <w:pStyle w:val="ConsPlusNormal"/>
        <w:spacing w:before="220"/>
        <w:ind w:firstLine="540"/>
        <w:jc w:val="both"/>
      </w:pPr>
      <w:bookmarkStart w:id="5" w:name="P57"/>
      <w:bookmarkEnd w:id="5"/>
      <w:r>
        <w:t xml:space="preserve">5. Участниками конкурса могут быть молодые ученые и конструкторы, которым в год проведения конкурса исполняется не более 35 лет, проживающие на территории Самарской области и имеющие трудовые отношения с расположенными в Самарской области организациями любых организационно-правовых форм и форм собственности, выполняющими научно-исследовательские и опытно-конструкторские работы по приоритетным для Самарской области направлениям развития науки, технологий и техники (далее - организации), в соответствии с </w:t>
      </w:r>
      <w:hyperlink w:anchor="P41" w:history="1">
        <w:r>
          <w:rPr>
            <w:color w:val="0000FF"/>
          </w:rPr>
          <w:t>пунктом 1</w:t>
        </w:r>
      </w:hyperlink>
      <w:r>
        <w:t xml:space="preserve"> настоящего Порядка (далее - соискатели денежной выплаты).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6. Министерство образования и науки Самарской области (далее - министерство) ежегодно устанавливает сроки подачи заявок для участия в конкурсе и создает конкурсную комиссию по отбору соискателей денежных выплат (далее - конкурсная комиссия).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Информация о начале и окончании приема заявок, требованиях к заявке и к оформлению материалов, прилагаемых к заявке, публикуется на официальном сайте министерства в сети Интернет не позднее чем за 3 рабочих дня до даты начала приема заявок.</w:t>
      </w:r>
    </w:p>
    <w:p w:rsidR="00DB75DF" w:rsidRDefault="00DB75DF">
      <w:pPr>
        <w:pStyle w:val="ConsPlusNormal"/>
        <w:jc w:val="both"/>
      </w:pPr>
      <w:r>
        <w:t xml:space="preserve">(п. 6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20.04.2020 N 271)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7. Заявки на участие в конкурсе направляются соискателями денежных выплат в министерство в течение 15 рабочих дней со дня начала приема заявок.</w:t>
      </w:r>
    </w:p>
    <w:p w:rsidR="00DB75DF" w:rsidRDefault="00DB75DF">
      <w:pPr>
        <w:pStyle w:val="ConsPlusNormal"/>
        <w:jc w:val="both"/>
      </w:pPr>
      <w:r>
        <w:t xml:space="preserve">(п. 7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20.04.2020 N 271)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8. Соискатель денежной выплаты вправе представить на конкурс в текущем году только одну научно-исследовательскую или опытно-конструкторскую работу.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9. Заявки, не соответствующие условиям участия в конкурсе, представленные с нарушением правил оформления или поступившие на конкурс после указанного в извещении срока, не рассматриваются.</w:t>
      </w:r>
    </w:p>
    <w:p w:rsidR="00DB75DF" w:rsidRDefault="00DB75DF">
      <w:pPr>
        <w:pStyle w:val="ConsPlusNormal"/>
        <w:spacing w:before="220"/>
        <w:ind w:firstLine="540"/>
        <w:jc w:val="both"/>
      </w:pPr>
      <w:bookmarkStart w:id="6" w:name="P65"/>
      <w:bookmarkEnd w:id="6"/>
      <w:r>
        <w:t>10. Критериями отбора соискателя денежной выплаты являются: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участие в течение года, предшествующего назначению денежной выплаты, в выполнении научно-исследовательских и опытно-конструкторских работ в рамках региональных, федеральных и международных программ и конкурсов по приоритетным для Самарской области направлениям развития науки, технологий и техники в соответствии с </w:t>
      </w:r>
      <w:hyperlink w:anchor="P41" w:history="1">
        <w:r>
          <w:rPr>
            <w:color w:val="0000FF"/>
          </w:rPr>
          <w:t>пунктом 1</w:t>
        </w:r>
      </w:hyperlink>
      <w:r>
        <w:t xml:space="preserve"> настоящего Порядка (не менее чем в одной программе или одном конкурсе);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публикация в течение года, предшествующего назначению денежной выплаты, статей, монографий, учебников, учебно-методических и научно-методических пособий в ведущих учебных и научных изданиях и издательствах (не менее двух публикаций);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участие в течение года, предшествующего назначению денежной выплаты, в научных мероприятиях различного уровня (не менее двух участий);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возможность коммерциализации и практического применения результатов научно-исследовательских и опытно-конструкторских работ молодых ученых и конструкторов (наличие не </w:t>
      </w:r>
      <w:r>
        <w:lastRenderedPageBreak/>
        <w:t>менее одного авторского свидетельства (патента), или свидетельства о государственной регистрации программы, или акта внедрения, или технической справки (отчета) по теме научно-исследовательской или опытно-конструкторской работы).</w:t>
      </w:r>
    </w:p>
    <w:p w:rsidR="00DB75DF" w:rsidRDefault="00DB75D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20.04.2020 N 271)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11. Заявка соискателя денежной выплаты включает в себя две формы: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форма N 1 "Сведения о соискателе денежной выплаты" (фамилия, имя, отчество; место работы; должность; адрес места жительства (проживания); ученая степень, ученое звание; информация об участии в течение года, предшествующего назначению денежной выплаты, в выполнении научно-исследовательских и опытно-конструкторских работ в рамках региональных, федеральных и международных программ и конкурсов по приоритетным для Самарской области направлениям развития науки, технологий и техники в соответствии с </w:t>
      </w:r>
      <w:hyperlink w:anchor="P41" w:history="1">
        <w:r>
          <w:rPr>
            <w:color w:val="0000FF"/>
          </w:rPr>
          <w:t>пунктом 1</w:t>
        </w:r>
      </w:hyperlink>
      <w:r>
        <w:t xml:space="preserve"> настоящего Порядка; сведения о публикациях в течение года, предшествующего назначению денежной выплаты, статей, монографий, учебников, учебно-методических и научно-методических пособий в ведущих учебных и научных изданиях и издательствах; сведения об участии в течение года, предшествующего назначению денежной выплаты, в научных мероприятиях различного уровня; перечень объектов интеллектуальной собственности по направлению заявленной научно-исследовательской или опытно-конструкторской работы (авторские свидетельства, патенты, свидетельства о государственной регистрации программы, акты внедрения, техническая справка (отчет));</w:t>
      </w:r>
    </w:p>
    <w:p w:rsidR="00DB75DF" w:rsidRDefault="00DB75DF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20.04.2020 N 271)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форма N 2 "Описание научно-исследовательской или опытно-конструкторской работы" (тема работы, направление работы в соответствии с </w:t>
      </w:r>
      <w:hyperlink w:anchor="P41" w:history="1">
        <w:r>
          <w:rPr>
            <w:color w:val="0000FF"/>
          </w:rPr>
          <w:t>пунктом 1</w:t>
        </w:r>
      </w:hyperlink>
      <w:r>
        <w:t xml:space="preserve"> настоящего Порядка, описание проблемной ситуации, сложившейся в данном научном направлении, цели работы, задачи работы, основное содержание работы, научная новизна работы, план работы, ожидаемые результаты работы и основные направления дальнейшего их использования, в том числе для научно-технического потенциала Самарской области).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Формы заявки подписываются соискателем денежной выплаты собственноручно.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К заявке прилагаются копия паспорта соискателя (первая страница и страница с регистрацией по месту жительства), копия диплома кандидата (доктора) наук (для лиц, имеющих ученые степени), копии документов, подтверждающих соответствие соискателя требованиям, предусмотренным </w:t>
      </w:r>
      <w:hyperlink w:anchor="P57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65" w:history="1">
        <w:r>
          <w:rPr>
            <w:color w:val="0000FF"/>
          </w:rPr>
          <w:t>10</w:t>
        </w:r>
      </w:hyperlink>
      <w:r>
        <w:t xml:space="preserve"> настоящего Порядка, протокол (выписка из протокола) заседания органа управления организацией, в котором содержится решение о выдвижении кандидатуры на соискание денежной выплаты.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12. Состав конкурсной комиссии формируется из представителей органов государственной власти Самарской области, представителей научных организаций Российской академии наук и образовательных организаций высшего образования Самарской области - специалистов в соответствующих областях знаний. Состав конкурсной комиссии утверждается приказом министерства.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В состав конкурсной комиссии входят председатель, два заместителя председателя, секретарь и члены комиссии.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К компетенции членов конкурсной комиссии относятся проведение экспертизы заявок соискателей денежных выплат и научных отчетов молодых ученых и конструкторов за прошедший год, подготовка предложений по предоставлению денежных выплат, принятие решения о победителях конкурса.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Член конкурсной комиссии должен отказаться от проведения экспертизы заявок соискателей денежных выплат и научных отчетов молодых ученых и конструкторов за прошедший </w:t>
      </w:r>
      <w:r>
        <w:lastRenderedPageBreak/>
        <w:t>год, если заявка представлена от соискателя, имеющего трудовые отношения с организацией, в которой работает член конкурсной комиссии, а также в случаях невозможности проведения экспертизы в установленные сроки (по причине временного отсутствия члена конкурсной комиссии, болезни, отсутствия технических возможностей для проведения экспертизы и т.д.).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Экспертиза в отношении научно-исследовательских или опытно-конструкторских работ, представленных на конкурс, проводится членами конкурсной комиссии, являющимися специалистами в соответствующих областях научных знаний.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Члены конкурсной комиссии осуществляют экспертизу заявок соискателей денежных выплат, руководствуясь </w:t>
      </w:r>
      <w:hyperlink w:anchor="P55" w:history="1">
        <w:r>
          <w:rPr>
            <w:color w:val="0000FF"/>
          </w:rPr>
          <w:t>пунктами 4</w:t>
        </w:r>
      </w:hyperlink>
      <w:r>
        <w:t xml:space="preserve">, </w:t>
      </w:r>
      <w:hyperlink w:anchor="P57" w:history="1">
        <w:r>
          <w:rPr>
            <w:color w:val="0000FF"/>
          </w:rPr>
          <w:t>5</w:t>
        </w:r>
      </w:hyperlink>
      <w:r>
        <w:t xml:space="preserve"> и </w:t>
      </w:r>
      <w:hyperlink w:anchor="P65" w:history="1">
        <w:r>
          <w:rPr>
            <w:color w:val="0000FF"/>
          </w:rPr>
          <w:t>10</w:t>
        </w:r>
      </w:hyperlink>
      <w:r>
        <w:t xml:space="preserve"> настоящего Порядка.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К заседанию министерство предоставляет членам конкурсной комиссии информацию о финансировании (отсутствии финансирования) научно-исследовательских и опытно-конструкторских работ, представленных на конкурс, из бюджета Самарской области в рамках конкурса работ и проектов в области науки и техники на предоставление Губернских премий в области науки и техники, Губернских грантов (субсидий) в области науки и техники и областного конкурса "Молодой ученый".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Решение о победителях конкурса принимается конкурсной комиссией большинством голосов членов конкурсной комиссии, присутствующих на заседании, и оформляется протоколом. При равенстве голосов голос председательствующего на заседании конкурсной комиссии является решающим.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13. Конкурсная комиссия в срок до 20 июля текущего года проводит заседание и принимает решение о победителях конкурса (далее - получатели денежных выплат).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14. Решение конкурсной комиссии является основанием для заключения министерством договоров с получателями денежных выплат.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В договоре указывается тема научно-исследовательской или опытно-конструкторской работы молодого ученого или конструктора, содержатся план работы, ожидаемые результаты работы и их использование, в том числе для научно-технического потенциала Самарской области, сроки представления научного отчета по итогам проведенной в текущем году научно-исследовательской или опытно-конструкторской работы.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Договор предусматривает обязательство получателя денежной выплаты отработать в организации в течение года, в котором ему была предоставлена денежная выплата.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15. Перечисление денежных выплат осуществляется получателям на их лицевые счета, открытые в банке или иной кредитной организации.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Министерство на основании протокола конкурсной комиссии и договора единовременно осуществляет перечисление денежной суммы в размере, установленном </w:t>
      </w:r>
      <w:hyperlink w:anchor="P53" w:history="1">
        <w:r>
          <w:rPr>
            <w:color w:val="0000FF"/>
          </w:rPr>
          <w:t>пунктом 3</w:t>
        </w:r>
      </w:hyperlink>
      <w:r>
        <w:t xml:space="preserve"> настоящего Порядка, на указанные в договоре лицевые счета.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16. Молодой ученый и конструктор, получивший денежную выплату в предыдущем году, вправе участвовать в конкурсе следующего года. При этом решение о предоставлении денежной выплаты молодому ученому и конструктору будет приниматься конкурсной комиссией с учетом результатов проведенной ей экспертизы научного отчета молодого ученого и конструктора за прошедший год.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 xml:space="preserve">Научный отчет должен содержать информацию о результатах фактически проделанной в прошедшем году научно-исследовательской или опытно-конструкторской работы с учетом заявленного плана работы. К научному отчету прилагается библиографический список публикаций по итогам прошедшего года с приложением копий опубликованных статей, тезисов докладов, </w:t>
      </w:r>
      <w:r>
        <w:lastRenderedPageBreak/>
        <w:t>принятых к печати рукописей статей, книг, распечатки электронных публикаций.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Конкурсная комиссия оценивает результаты научно-исследовательской или опытно-конструкторской работы, их новизну, актуальность для данной отрасли знаний, вклад теоретического, методологического, методического или прикладного характера, самостоятельный характер исследования, оригинальность содержания работы, перспективы реализации выполненного исследования.</w:t>
      </w:r>
    </w:p>
    <w:p w:rsidR="00DB75DF" w:rsidRDefault="00DB75DF">
      <w:pPr>
        <w:pStyle w:val="ConsPlusNormal"/>
        <w:spacing w:before="220"/>
        <w:ind w:firstLine="540"/>
        <w:jc w:val="both"/>
      </w:pPr>
      <w:r>
        <w:t>17. Сведения о назначении денежных выплат публикуются в средствах массовой информации.</w:t>
      </w:r>
    </w:p>
    <w:p w:rsidR="00DB75DF" w:rsidRDefault="00DB75DF">
      <w:pPr>
        <w:pStyle w:val="ConsPlusNormal"/>
        <w:jc w:val="both"/>
      </w:pPr>
    </w:p>
    <w:p w:rsidR="00DB75DF" w:rsidRDefault="00DB75DF">
      <w:pPr>
        <w:pStyle w:val="ConsPlusNormal"/>
        <w:jc w:val="both"/>
      </w:pPr>
    </w:p>
    <w:p w:rsidR="00DB75DF" w:rsidRDefault="00DB75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061E" w:rsidRDefault="0032061E"/>
    <w:sectPr w:rsidR="0032061E" w:rsidSect="00562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DF"/>
    <w:rsid w:val="0032061E"/>
    <w:rsid w:val="008A2FA0"/>
    <w:rsid w:val="00D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1F986-4BEF-45AC-B8F4-BAF6829B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75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0A1A1E9EEA2E4D6BC799F27D05B87D56A84A0F7CD41681E51AC7084147963A51F3599C2E458257095D370CEC1001996061D1B5C6BF482C40AEA5C1p5rFH" TargetMode="External"/><Relationship Id="rId13" Type="http://schemas.openxmlformats.org/officeDocument/2006/relationships/hyperlink" Target="consultantplus://offline/ref=390A1A1E9EEA2E4D6BC799F27D05B87D56A84A0F7CD41681E51AC7084147963A51F3599C2E458257095D370CE21001996061D1B5C6BF482C40AEA5C1p5rFH" TargetMode="External"/><Relationship Id="rId18" Type="http://schemas.openxmlformats.org/officeDocument/2006/relationships/hyperlink" Target="consultantplus://offline/ref=390A1A1E9EEA2E4D6BC799F27D05B87D56A84A0F7CD41681E51AC7084147963A51F3599C2E458257095D370DED1001996061D1B5C6BF482C40AEA5C1p5r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0A1A1E9EEA2E4D6BC799F27D05B87D56A84A0F7CD41681E51AC7084147963A51F3599C2E458257095D370CED1001996061D1B5C6BF482C40AEA5C1p5rFH" TargetMode="External"/><Relationship Id="rId12" Type="http://schemas.openxmlformats.org/officeDocument/2006/relationships/hyperlink" Target="consultantplus://offline/ref=390A1A1E9EEA2E4D6BC799F27D05B87D56A84A0F7AD31687E3149A02491E9A3856FC068B290C8E56095D340BE04F048C7139DEB2DDA14A305CACA7pCr2H" TargetMode="External"/><Relationship Id="rId17" Type="http://schemas.openxmlformats.org/officeDocument/2006/relationships/hyperlink" Target="consultantplus://offline/ref=390A1A1E9EEA2E4D6BC799F27D05B87D56A84A0F7CD41681E51AC7084147963A51F3599C2E458257095D370DEF1001996061D1B5C6BF482C40AEA5C1p5r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0A1A1E9EEA2E4D6BC799F27D05B87D56A84A0F7CD41681E51AC7084147963A51F3599C2E458257095D370DE81001996061D1B5C6BF482C40AEA5C1p5rF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0A1A1E9EEA2E4D6BC799F27D05B87D56A84A0F7CD31F81E51CC7084147963A51F3599C2E45825709583509ED1001996061D1B5C6BF482C40AEA5C1p5rFH" TargetMode="External"/><Relationship Id="rId11" Type="http://schemas.openxmlformats.org/officeDocument/2006/relationships/hyperlink" Target="consultantplus://offline/ref=390A1A1E9EEA2E4D6BC799F27D05B87D56A84A0F7CD41681E51AC7084147963A51F3599C2E458257095D370CE31001996061D1B5C6BF482C40AEA5C1p5rFH" TargetMode="External"/><Relationship Id="rId5" Type="http://schemas.openxmlformats.org/officeDocument/2006/relationships/hyperlink" Target="consultantplus://offline/ref=390A1A1E9EEA2E4D6BC799F27D05B87D56A84A0F7CD41681E51AC7084147963A51F3599C2E458257095D370CEE1001996061D1B5C6BF482C40AEA5C1p5rFH" TargetMode="External"/><Relationship Id="rId15" Type="http://schemas.openxmlformats.org/officeDocument/2006/relationships/hyperlink" Target="consultantplus://offline/ref=390A1A1E9EEA2E4D6BC799F27D05B87D56A84A0F7CD41681E51AC7084147963A51F3599C2E458257095D370DEB1001996061D1B5C6BF482C40AEA5C1p5rFH" TargetMode="External"/><Relationship Id="rId10" Type="http://schemas.openxmlformats.org/officeDocument/2006/relationships/hyperlink" Target="consultantplus://offline/ref=390A1A1E9EEA2E4D6BC799F27D05B87D56A84A0F7CD31F81E51CC7084147963A51F3599C3C45DA5B0B58290CE90557C826p3r5H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390A1A1E9EEA2E4D6BC799F27D05B87D56A84A0F7AD31687E3149A02491E9A3856FC068B290C8E56095D340AE04F048C7139DEB2DDA14A305CACA7pCr2H" TargetMode="External"/><Relationship Id="rId9" Type="http://schemas.openxmlformats.org/officeDocument/2006/relationships/hyperlink" Target="consultantplus://offline/ref=390A1A1E9EEA2E4D6BC799F27D05B87D56A84A0F7BDF1884E0149A02491E9A3856FC068B290C8E56095D3F08E04F048C7139DEB2DDA14A305CACA7pCr2H" TargetMode="External"/><Relationship Id="rId14" Type="http://schemas.openxmlformats.org/officeDocument/2006/relationships/hyperlink" Target="consultantplus://offline/ref=390A1A1E9EEA2E4D6BC799F27D05B87D56A84A0F7AD31687E3149A02491E9A3856FC068B290C8E56095D340BE04F048C7139DEB2DDA14A305CACA7pCr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Мишкин Алексей Анатольевич</cp:lastModifiedBy>
  <cp:revision>2</cp:revision>
  <dcterms:created xsi:type="dcterms:W3CDTF">2021-03-01T07:52:00Z</dcterms:created>
  <dcterms:modified xsi:type="dcterms:W3CDTF">2021-03-01T07:52:00Z</dcterms:modified>
</cp:coreProperties>
</file>